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F399" w14:textId="77777777" w:rsidR="002B5802" w:rsidRDefault="00B13F45" w:rsidP="00B13F45">
      <w:pPr>
        <w:rPr>
          <w:lang w:val="eu-ES"/>
        </w:rPr>
      </w:pPr>
      <w:r>
        <w:rPr>
          <w:lang w:val="eu-ES"/>
        </w:rPr>
        <w:t>EXPEDIENTE 2020/00018  PREGUNTAS/RESPUESTAS.</w:t>
      </w:r>
    </w:p>
    <w:p w14:paraId="6EF2E416" w14:textId="77777777" w:rsidR="00B13F45" w:rsidRDefault="00B13F45" w:rsidP="00B13F45">
      <w:pPr>
        <w:rPr>
          <w:lang w:val="eu-ES"/>
        </w:rPr>
      </w:pPr>
    </w:p>
    <w:p w14:paraId="7724FFF9"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1.- Bi enpresa batera joan ezkero, derrigorrez UTE bat egin beharko litzateke? </w:t>
      </w:r>
    </w:p>
    <w:p w14:paraId="617CE785" w14:textId="77777777" w:rsid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Erantzuna: BAI</w:t>
      </w:r>
    </w:p>
    <w:p w14:paraId="0FCAC118" w14:textId="77777777" w:rsidR="00B13F45" w:rsidRPr="00B13F45" w:rsidRDefault="00B13F45" w:rsidP="00B13F45">
      <w:pPr>
        <w:rPr>
          <w:rFonts w:ascii="Calibri" w:hAnsi="Calibri" w:cs="Calibri"/>
          <w:i/>
          <w:iCs/>
          <w:color w:val="000000" w:themeColor="text1"/>
          <w:lang w:val="eu-ES"/>
        </w:rPr>
      </w:pPr>
    </w:p>
    <w:p w14:paraId="705E7F25"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 xml:space="preserve">2.- Kasu horretan </w:t>
      </w:r>
      <w:proofErr w:type="spellStart"/>
      <w:r w:rsidRPr="00B13F45">
        <w:rPr>
          <w:rFonts w:ascii="Calibri" w:hAnsi="Calibri" w:cs="Calibri"/>
          <w:i/>
          <w:iCs/>
          <w:color w:val="000000" w:themeColor="text1"/>
          <w:lang w:val="eu-ES"/>
        </w:rPr>
        <w:t>UTEko</w:t>
      </w:r>
      <w:proofErr w:type="spellEnd"/>
      <w:r w:rsidRPr="00B13F45">
        <w:rPr>
          <w:rFonts w:ascii="Calibri" w:hAnsi="Calibri" w:cs="Calibri"/>
          <w:i/>
          <w:iCs/>
          <w:color w:val="000000" w:themeColor="text1"/>
          <w:lang w:val="eu-ES"/>
        </w:rPr>
        <w:t xml:space="preserve"> enpresa bakoitzak bete </w:t>
      </w:r>
      <w:proofErr w:type="spellStart"/>
      <w:r w:rsidRPr="00B13F45">
        <w:rPr>
          <w:rFonts w:ascii="Calibri" w:hAnsi="Calibri" w:cs="Calibri"/>
          <w:i/>
          <w:iCs/>
          <w:color w:val="000000" w:themeColor="text1"/>
          <w:lang w:val="eu-ES"/>
        </w:rPr>
        <w:t>behrako</w:t>
      </w:r>
      <w:proofErr w:type="spellEnd"/>
      <w:r w:rsidRPr="00B13F45">
        <w:rPr>
          <w:rFonts w:ascii="Calibri" w:hAnsi="Calibri" w:cs="Calibri"/>
          <w:i/>
          <w:iCs/>
          <w:color w:val="000000" w:themeColor="text1"/>
          <w:lang w:val="eu-ES"/>
        </w:rPr>
        <w:t xml:space="preserve"> lituzke baldintza teknikoak?</w:t>
      </w:r>
    </w:p>
    <w:p w14:paraId="7440AEF1"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 xml:space="preserve">Erantzuna: </w:t>
      </w:r>
    </w:p>
    <w:p w14:paraId="7084412B"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En base a lo establecido en el Artículo 69. Uniones de empresarios de la Ley 9/2017, de 8 noviembre de Contratos del Sector Público, aptdo. 6, “A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Así mismo, el artículo 75. Integración de la solvencia con medios externos de la Ley 9/2017, de 8 noviembre de Contratos del Sector Público, establece en su apartado 1. “Para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 En las mismas condiciones, los empresarios que concurran agrupados en las uniones temporales a que se refiere el artículo 69, podrán recurrir a las capacidades de entidades ajenas a la unión temporal.“</w:t>
      </w:r>
    </w:p>
    <w:p w14:paraId="1CC504EF" w14:textId="77777777" w:rsidR="00B13F45" w:rsidRPr="00B13F45" w:rsidRDefault="00B13F45" w:rsidP="00B13F45">
      <w:pPr>
        <w:rPr>
          <w:rFonts w:ascii="Calibri" w:hAnsi="Calibri" w:cs="Calibri"/>
          <w:i/>
          <w:iCs/>
          <w:color w:val="000000" w:themeColor="text1"/>
          <w:lang w:val="eu-ES"/>
        </w:rPr>
      </w:pPr>
    </w:p>
    <w:p w14:paraId="4D5B1778"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 xml:space="preserve">3.- </w:t>
      </w:r>
      <w:proofErr w:type="spellStart"/>
      <w:r w:rsidRPr="00B13F45">
        <w:rPr>
          <w:rFonts w:ascii="Calibri" w:hAnsi="Calibri" w:cs="Calibri"/>
          <w:i/>
          <w:iCs/>
          <w:color w:val="000000" w:themeColor="text1"/>
          <w:lang w:val="eu-ES"/>
        </w:rPr>
        <w:t>Pliego</w:t>
      </w:r>
      <w:proofErr w:type="spellEnd"/>
      <w:r w:rsidRPr="00B13F45">
        <w:rPr>
          <w:rFonts w:ascii="Calibri" w:hAnsi="Calibri" w:cs="Calibri"/>
          <w:i/>
          <w:iCs/>
          <w:color w:val="000000" w:themeColor="text1"/>
          <w:lang w:val="eu-ES"/>
        </w:rPr>
        <w:t xml:space="preserve"> administratiboetan dion bezala;</w:t>
      </w:r>
    </w:p>
    <w:p w14:paraId="3AA03DD8"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Cláusula 15. Integración de la solvencia con medios externos.</w:t>
      </w:r>
    </w:p>
    <w:p w14:paraId="30716CD9"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Para acreditar la solvencia necesaria para celebrar un contrato determinado, el/la empresario/a podrá basarse en la solvencia y medios de otras entidades, independientemente de la naturaleza jurídica de los vínculos que tenga con ellas, siempre que demuestre que durante toda la duración de la ejecución del contrato dispondrá efectivamente de esa</w:t>
      </w:r>
      <w:r w:rsidRPr="00B13F45">
        <w:rPr>
          <w:rFonts w:ascii="Calibri" w:hAnsi="Calibri" w:cs="Calibri"/>
          <w:color w:val="000000" w:themeColor="text1"/>
          <w:lang w:val="eu-ES"/>
        </w:rPr>
        <w:t> </w:t>
      </w:r>
      <w:r w:rsidRPr="00B13F45">
        <w:rPr>
          <w:rFonts w:ascii="Calibri" w:hAnsi="Calibri" w:cs="Calibri"/>
          <w:i/>
          <w:iCs/>
          <w:color w:val="000000" w:themeColor="text1"/>
          <w:lang w:val="eu-ES"/>
        </w:rPr>
        <w:t>solvencia y medios, y la entidad a la que recurra no esté incursa en una prohibición de contratar.</w:t>
      </w:r>
    </w:p>
    <w:p w14:paraId="0A699175"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 xml:space="preserve">Kasu hau erabiltzeko </w:t>
      </w:r>
      <w:proofErr w:type="spellStart"/>
      <w:r w:rsidRPr="00B13F45">
        <w:rPr>
          <w:rFonts w:ascii="Calibri" w:hAnsi="Calibri" w:cs="Calibri"/>
          <w:i/>
          <w:iCs/>
          <w:color w:val="000000" w:themeColor="text1"/>
          <w:lang w:val="eu-ES"/>
        </w:rPr>
        <w:t>UTEa</w:t>
      </w:r>
      <w:proofErr w:type="spellEnd"/>
      <w:r w:rsidRPr="00B13F45">
        <w:rPr>
          <w:rFonts w:ascii="Calibri" w:hAnsi="Calibri" w:cs="Calibri"/>
          <w:i/>
          <w:iCs/>
          <w:color w:val="000000" w:themeColor="text1"/>
          <w:lang w:val="eu-ES"/>
        </w:rPr>
        <w:t xml:space="preserve"> egin beharko litzateke?</w:t>
      </w:r>
    </w:p>
    <w:p w14:paraId="0EFDFA11"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 xml:space="preserve">Erantzuna: </w:t>
      </w:r>
    </w:p>
    <w:p w14:paraId="406F195F" w14:textId="77777777" w:rsidR="00B13F45" w:rsidRPr="00B13F45" w:rsidRDefault="00B13F45" w:rsidP="00B13F45">
      <w:pPr>
        <w:rPr>
          <w:rFonts w:ascii="Calibri" w:hAnsi="Calibri" w:cs="Calibri"/>
          <w:i/>
          <w:iCs/>
          <w:color w:val="000000" w:themeColor="text1"/>
          <w:lang w:val="eu-ES"/>
        </w:rPr>
      </w:pPr>
      <w:r w:rsidRPr="00B13F45">
        <w:rPr>
          <w:rFonts w:ascii="Calibri" w:hAnsi="Calibri" w:cs="Calibri"/>
          <w:i/>
          <w:iCs/>
          <w:color w:val="000000" w:themeColor="text1"/>
          <w:lang w:val="eu-ES"/>
        </w:rPr>
        <w:t>EZ, ver anexo VI del Pliego de Condiciones Administrativas Particulares. Sin embargo, de conformidad con el artículo 75.1 LCSP, con respecto a los criterios relativos a los títulos de estudios y profesionales que se indican en el artículo 90.1 e) o a la experiencia profesional pertinente, las empresas únicamente podrán recurrir a las capacidades de otras entidades si éstas van a prestar los servicios para los cuales son necesarias dichas capacidades.</w:t>
      </w:r>
    </w:p>
    <w:p w14:paraId="012D1806" w14:textId="77777777" w:rsidR="00B13F45" w:rsidRPr="00B13F45" w:rsidRDefault="00B13F45" w:rsidP="00B13F45">
      <w:pPr>
        <w:rPr>
          <w:rFonts w:ascii="Calibri" w:hAnsi="Calibri" w:cs="Calibri"/>
          <w:i/>
          <w:iCs/>
          <w:color w:val="000000" w:themeColor="text1"/>
          <w:lang w:val="eu-ES"/>
        </w:rPr>
      </w:pPr>
    </w:p>
    <w:p w14:paraId="39FF4EBC" w14:textId="77777777" w:rsidR="00B13F45" w:rsidRPr="00B13F45" w:rsidRDefault="00B13F45" w:rsidP="00B13F45"/>
    <w:sectPr w:rsidR="00B13F45" w:rsidRPr="00B13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50"/>
    <w:rsid w:val="00070428"/>
    <w:rsid w:val="000B7D2A"/>
    <w:rsid w:val="00175449"/>
    <w:rsid w:val="0018600C"/>
    <w:rsid w:val="001B7D68"/>
    <w:rsid w:val="001C5289"/>
    <w:rsid w:val="00237F9B"/>
    <w:rsid w:val="00261468"/>
    <w:rsid w:val="00266700"/>
    <w:rsid w:val="00290373"/>
    <w:rsid w:val="002B5802"/>
    <w:rsid w:val="00304A7F"/>
    <w:rsid w:val="00345A15"/>
    <w:rsid w:val="003A29E2"/>
    <w:rsid w:val="003B1E97"/>
    <w:rsid w:val="003E6E4E"/>
    <w:rsid w:val="00417245"/>
    <w:rsid w:val="00487525"/>
    <w:rsid w:val="00613543"/>
    <w:rsid w:val="007546C3"/>
    <w:rsid w:val="007D0E00"/>
    <w:rsid w:val="007E0250"/>
    <w:rsid w:val="0089229A"/>
    <w:rsid w:val="009C6C2E"/>
    <w:rsid w:val="00A1214C"/>
    <w:rsid w:val="00AD7B61"/>
    <w:rsid w:val="00AE31C8"/>
    <w:rsid w:val="00B13F45"/>
    <w:rsid w:val="00B2096A"/>
    <w:rsid w:val="00B4331B"/>
    <w:rsid w:val="00B85EAD"/>
    <w:rsid w:val="00BD6985"/>
    <w:rsid w:val="00C913EE"/>
    <w:rsid w:val="00C9389B"/>
    <w:rsid w:val="00D04043"/>
    <w:rsid w:val="00D56FE7"/>
    <w:rsid w:val="00D74D70"/>
    <w:rsid w:val="00E17C43"/>
    <w:rsid w:val="00ED4272"/>
    <w:rsid w:val="00F347EA"/>
    <w:rsid w:val="00F55EE0"/>
    <w:rsid w:val="00F72CD8"/>
    <w:rsid w:val="00FA3AEE"/>
    <w:rsid w:val="00FB0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9B82"/>
  <w15:docId w15:val="{16C1FF73-7789-41C7-94F4-686E197D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default">
    <w:name w:val="gmail_default"/>
    <w:basedOn w:val="Fuentedeprrafopredeter"/>
    <w:rsid w:val="00B1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53130">
      <w:bodyDiv w:val="1"/>
      <w:marLeft w:val="0"/>
      <w:marRight w:val="0"/>
      <w:marTop w:val="0"/>
      <w:marBottom w:val="0"/>
      <w:divBdr>
        <w:top w:val="none" w:sz="0" w:space="0" w:color="auto"/>
        <w:left w:val="none" w:sz="0" w:space="0" w:color="auto"/>
        <w:bottom w:val="none" w:sz="0" w:space="0" w:color="auto"/>
        <w:right w:val="none" w:sz="0" w:space="0" w:color="auto"/>
      </w:divBdr>
    </w:div>
    <w:div w:id="1344935325">
      <w:bodyDiv w:val="1"/>
      <w:marLeft w:val="0"/>
      <w:marRight w:val="0"/>
      <w:marTop w:val="0"/>
      <w:marBottom w:val="0"/>
      <w:divBdr>
        <w:top w:val="none" w:sz="0" w:space="0" w:color="auto"/>
        <w:left w:val="none" w:sz="0" w:space="0" w:color="auto"/>
        <w:bottom w:val="none" w:sz="0" w:space="0" w:color="auto"/>
        <w:right w:val="none" w:sz="0" w:space="0" w:color="auto"/>
      </w:divBdr>
    </w:div>
    <w:div w:id="21301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Agurtzane Arbulu</dc:creator>
  <cp:lastModifiedBy>Leire Fuente Bordagaray</cp:lastModifiedBy>
  <cp:revision>2</cp:revision>
  <dcterms:created xsi:type="dcterms:W3CDTF">2021-03-01T10:32:00Z</dcterms:created>
  <dcterms:modified xsi:type="dcterms:W3CDTF">2021-03-01T10:32:00Z</dcterms:modified>
</cp:coreProperties>
</file>