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7C120" w14:textId="77777777" w:rsidR="00705DAF" w:rsidRPr="00800E00" w:rsidRDefault="00705DAF" w:rsidP="00705DAF">
      <w:pPr>
        <w:jc w:val="center"/>
        <w:rPr>
          <w:rFonts w:ascii="Arial" w:hAnsi="Arial" w:cs="Arial"/>
          <w:b/>
          <w:sz w:val="20"/>
          <w:szCs w:val="20"/>
        </w:rPr>
      </w:pPr>
      <w:r w:rsidRPr="00800E00">
        <w:rPr>
          <w:rFonts w:ascii="Arial" w:hAnsi="Arial" w:cs="Arial"/>
          <w:b/>
          <w:sz w:val="20"/>
          <w:szCs w:val="20"/>
        </w:rPr>
        <w:t>CONCESIÓN DE OBRA PARA LA REDACCIÓN DEL PROYECTO, DIRECCIÓN FACULTATIVA, CONSTRUCCIÓN, EQUIPAMIENTO Y EXPLOTACIÓN DE UN CENTRO DE SERVICIOS SOCIALES EN EL BARRIO DE ARBES DE IRUN.</w:t>
      </w:r>
    </w:p>
    <w:p w14:paraId="01A8BDD3" w14:textId="77777777" w:rsidR="00705DAF" w:rsidRPr="00800E00" w:rsidRDefault="00705DAF" w:rsidP="00705DAF">
      <w:pPr>
        <w:jc w:val="center"/>
        <w:rPr>
          <w:rFonts w:ascii="Arial" w:hAnsi="Arial" w:cs="Arial"/>
          <w:b/>
          <w:sz w:val="20"/>
          <w:szCs w:val="20"/>
        </w:rPr>
      </w:pPr>
      <w:r w:rsidRPr="00800E00">
        <w:rPr>
          <w:rFonts w:ascii="Arial" w:hAnsi="Arial" w:cs="Arial"/>
          <w:b/>
          <w:sz w:val="20"/>
          <w:szCs w:val="20"/>
        </w:rPr>
        <w:t>(2020/00050)</w:t>
      </w:r>
    </w:p>
    <w:p w14:paraId="4186E8EC" w14:textId="77777777" w:rsidR="00705DAF" w:rsidRPr="00800E00" w:rsidRDefault="00705DAF" w:rsidP="00705DAF">
      <w:pPr>
        <w:rPr>
          <w:rFonts w:ascii="Arial" w:hAnsi="Arial" w:cs="Arial"/>
          <w:b/>
          <w:sz w:val="20"/>
          <w:szCs w:val="20"/>
        </w:rPr>
      </w:pPr>
    </w:p>
    <w:p w14:paraId="6FA27216" w14:textId="77777777" w:rsidR="00705DAF" w:rsidRPr="00800E00" w:rsidRDefault="00705DAF" w:rsidP="00705DAF">
      <w:pPr>
        <w:jc w:val="center"/>
        <w:rPr>
          <w:rFonts w:ascii="Arial" w:hAnsi="Arial" w:cs="Arial"/>
          <w:b/>
          <w:sz w:val="20"/>
          <w:szCs w:val="20"/>
        </w:rPr>
      </w:pPr>
      <w:r w:rsidRPr="00800E00">
        <w:rPr>
          <w:rFonts w:ascii="Arial" w:hAnsi="Arial" w:cs="Arial"/>
          <w:b/>
          <w:sz w:val="20"/>
          <w:szCs w:val="20"/>
        </w:rPr>
        <w:t xml:space="preserve">PREGUNTAS FORMULADAS EN LA DIRECCIÓN DE CORREO </w:t>
      </w:r>
      <w:proofErr w:type="spellStart"/>
      <w:r w:rsidRPr="00800E00">
        <w:rPr>
          <w:rFonts w:ascii="Arial" w:eastAsia="Times New Roman" w:hAnsi="Arial" w:cs="Arial"/>
          <w:b/>
          <w:sz w:val="20"/>
          <w:szCs w:val="20"/>
          <w:lang w:eastAsia="es-ES"/>
        </w:rPr>
        <w:t>info.gizartekintza@gipuzkoa.eus</w:t>
      </w:r>
      <w:proofErr w:type="spellEnd"/>
      <w:r w:rsidRPr="00800E00">
        <w:rPr>
          <w:rFonts w:ascii="Arial" w:hAnsi="Arial" w:cs="Arial"/>
          <w:b/>
          <w:sz w:val="20"/>
          <w:szCs w:val="20"/>
        </w:rPr>
        <w:t xml:space="preserve"> Y RELACIÓN DE RESPUESTAS (15/10/2020)</w:t>
      </w:r>
    </w:p>
    <w:p w14:paraId="45FF9ED1" w14:textId="77777777" w:rsidR="00705DAF" w:rsidRPr="00800E00" w:rsidRDefault="00705DAF" w:rsidP="00705DAF">
      <w:pPr>
        <w:rPr>
          <w:rFonts w:ascii="Arial" w:hAnsi="Arial" w:cs="Arial"/>
          <w:b/>
          <w:sz w:val="20"/>
          <w:szCs w:val="20"/>
        </w:rPr>
      </w:pPr>
    </w:p>
    <w:p w14:paraId="7A7C9642" w14:textId="77777777" w:rsidR="00705DAF" w:rsidRPr="00800E00" w:rsidRDefault="00705DAF"/>
    <w:p w14:paraId="189D561E" w14:textId="77777777" w:rsidR="00705DAF" w:rsidRPr="00800E00" w:rsidRDefault="00705D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E00" w:rsidRPr="00800E00" w14:paraId="26732CDF" w14:textId="77777777" w:rsidTr="00A52443">
        <w:tc>
          <w:tcPr>
            <w:tcW w:w="8494" w:type="dxa"/>
          </w:tcPr>
          <w:p w14:paraId="66FD855A" w14:textId="77777777" w:rsidR="00571D0E" w:rsidRPr="00800E00" w:rsidRDefault="00571D0E" w:rsidP="00A52443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CUESTIÓN </w:t>
            </w:r>
            <w:r w:rsidR="00705DAF"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>.-</w:t>
            </w:r>
          </w:p>
          <w:p w14:paraId="26F1C056" w14:textId="77777777" w:rsidR="00571D0E" w:rsidRPr="00800E00" w:rsidRDefault="00571D0E" w:rsidP="00A5244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0E00">
              <w:rPr>
                <w:rFonts w:ascii="Arial" w:hAnsi="Arial" w:cs="Arial"/>
                <w:color w:val="auto"/>
                <w:sz w:val="20"/>
                <w:szCs w:val="20"/>
              </w:rPr>
              <w:t xml:space="preserve">En relación a la posibilidad de variantes, que se admite según el pto.12 del PCAP, no es puntuable en la licitación, </w:t>
            </w:r>
            <w:proofErr w:type="gramStart"/>
            <w:r w:rsidRPr="00800E00">
              <w:rPr>
                <w:rFonts w:ascii="Arial" w:hAnsi="Arial" w:cs="Arial"/>
                <w:color w:val="auto"/>
                <w:sz w:val="20"/>
                <w:szCs w:val="20"/>
              </w:rPr>
              <w:t>no?</w:t>
            </w:r>
            <w:proofErr w:type="gramEnd"/>
            <w:r w:rsidRPr="00800E0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00E00">
              <w:rPr>
                <w:rFonts w:ascii="Arial" w:hAnsi="Arial" w:cs="Arial"/>
                <w:color w:val="auto"/>
                <w:sz w:val="20"/>
                <w:szCs w:val="20"/>
              </w:rPr>
              <w:t>Pero tiene carácter positivo de cara a la elección, el que se pueda independizar la parte del Proyecto de los apartamentos tutelados?</w:t>
            </w:r>
            <w:proofErr w:type="gramEnd"/>
            <w:r w:rsidRPr="00800E00">
              <w:rPr>
                <w:rFonts w:ascii="Arial" w:hAnsi="Arial" w:cs="Arial"/>
                <w:color w:val="auto"/>
                <w:sz w:val="20"/>
                <w:szCs w:val="20"/>
              </w:rPr>
              <w:t xml:space="preserve"> Y si es positivo, </w:t>
            </w:r>
            <w:proofErr w:type="gramStart"/>
            <w:r w:rsidRPr="00800E00">
              <w:rPr>
                <w:rFonts w:ascii="Arial" w:hAnsi="Arial" w:cs="Arial"/>
                <w:color w:val="auto"/>
                <w:sz w:val="20"/>
                <w:szCs w:val="20"/>
              </w:rPr>
              <w:t>habría  que</w:t>
            </w:r>
            <w:proofErr w:type="gramEnd"/>
            <w:r w:rsidRPr="00800E00">
              <w:rPr>
                <w:rFonts w:ascii="Arial" w:hAnsi="Arial" w:cs="Arial"/>
                <w:color w:val="auto"/>
                <w:sz w:val="20"/>
                <w:szCs w:val="20"/>
              </w:rPr>
              <w:t xml:space="preserve"> presentar ese posible proyecto como segunda opción con planos y demás, o no es necesario?  </w:t>
            </w:r>
          </w:p>
          <w:p w14:paraId="236C79A3" w14:textId="77777777" w:rsidR="00571D0E" w:rsidRPr="00800E00" w:rsidRDefault="00571D0E" w:rsidP="00A52443">
            <w:pPr>
              <w:pStyle w:val="Prrafodelista"/>
              <w:ind w:hanging="12"/>
              <w:rPr>
                <w:rFonts w:ascii="Arial" w:hAnsi="Arial" w:cs="Arial"/>
                <w:sz w:val="20"/>
                <w:szCs w:val="20"/>
              </w:rPr>
            </w:pPr>
          </w:p>
          <w:p w14:paraId="13832641" w14:textId="77777777" w:rsidR="00571D0E" w:rsidRPr="00800E00" w:rsidRDefault="00571D0E" w:rsidP="00A52443">
            <w:pPr>
              <w:spacing w:after="160" w:line="360" w:lineRule="auto"/>
              <w:rPr>
                <w:rFonts w:ascii="Arial" w:hAnsi="Arial" w:cs="Arial"/>
                <w:b/>
              </w:rPr>
            </w:pPr>
            <w:r w:rsidRPr="00800E00">
              <w:rPr>
                <w:rFonts w:ascii="Arial" w:hAnsi="Arial" w:cs="Arial"/>
                <w:b/>
              </w:rPr>
              <w:t>RESPUESTA:</w:t>
            </w:r>
          </w:p>
          <w:p w14:paraId="295F3C65" w14:textId="77777777" w:rsidR="00571D0E" w:rsidRDefault="00571D0E" w:rsidP="00D33AC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0E00">
              <w:rPr>
                <w:rFonts w:ascii="Arial" w:hAnsi="Arial" w:cs="Arial"/>
                <w:color w:val="auto"/>
                <w:sz w:val="20"/>
                <w:szCs w:val="20"/>
              </w:rPr>
              <w:t xml:space="preserve">No es puntuable. </w:t>
            </w:r>
            <w:r w:rsidR="00D33ACA" w:rsidRPr="00800E00">
              <w:rPr>
                <w:rFonts w:ascii="Arial" w:hAnsi="Arial" w:cs="Arial"/>
                <w:color w:val="auto"/>
                <w:sz w:val="20"/>
                <w:szCs w:val="20"/>
              </w:rPr>
              <w:t>Las ofertas que en su caso se presenten en tal sentido serán objeto de calificación y, en su caso, valoración por la Mesa o los servicios técnicos</w:t>
            </w:r>
            <w:r w:rsidR="007A5548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D33ACA" w:rsidRPr="00800E00">
              <w:rPr>
                <w:rFonts w:ascii="Arial" w:hAnsi="Arial" w:cs="Arial"/>
                <w:color w:val="auto"/>
                <w:sz w:val="20"/>
                <w:szCs w:val="20"/>
              </w:rPr>
              <w:t>por lo que a tal</w:t>
            </w:r>
            <w:r w:rsidR="007A5548">
              <w:rPr>
                <w:rFonts w:ascii="Arial" w:hAnsi="Arial" w:cs="Arial"/>
                <w:color w:val="auto"/>
                <w:sz w:val="20"/>
                <w:szCs w:val="20"/>
              </w:rPr>
              <w:t xml:space="preserve">es efectos </w:t>
            </w:r>
            <w:r w:rsidR="00D33ACA" w:rsidRPr="00800E00">
              <w:rPr>
                <w:rFonts w:ascii="Arial" w:hAnsi="Arial" w:cs="Arial"/>
                <w:color w:val="auto"/>
                <w:sz w:val="20"/>
                <w:szCs w:val="20"/>
              </w:rPr>
              <w:t xml:space="preserve">será necesario adjuntar planos y demás.  </w:t>
            </w:r>
          </w:p>
          <w:p w14:paraId="459CABAF" w14:textId="77777777" w:rsidR="00800E00" w:rsidRPr="00800E00" w:rsidRDefault="00800E00" w:rsidP="00D33ACA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2B8D27C0" w14:textId="77777777" w:rsidR="00571D0E" w:rsidRPr="00800E00" w:rsidRDefault="00571D0E" w:rsidP="00571D0E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1D0E" w:rsidRPr="00800E00" w14:paraId="10D1C742" w14:textId="77777777" w:rsidTr="00A52443">
        <w:tc>
          <w:tcPr>
            <w:tcW w:w="8494" w:type="dxa"/>
          </w:tcPr>
          <w:p w14:paraId="613AC831" w14:textId="77777777" w:rsidR="00571D0E" w:rsidRPr="00800E00" w:rsidRDefault="00571D0E" w:rsidP="00A52443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CUESTIÓN </w:t>
            </w:r>
            <w:r w:rsidR="00724CD9"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>.-</w:t>
            </w:r>
            <w:r w:rsidRPr="00800E00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271ED8AB" w14:textId="77777777" w:rsidR="00571D0E" w:rsidRPr="00800E00" w:rsidRDefault="00571D0E" w:rsidP="00A52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E00">
              <w:rPr>
                <w:rFonts w:ascii="Arial" w:hAnsi="Arial" w:cs="Arial"/>
                <w:sz w:val="20"/>
                <w:szCs w:val="20"/>
              </w:rPr>
              <w:t xml:space="preserve">De cara a la solvencia técnica: </w:t>
            </w:r>
            <w:proofErr w:type="gramStart"/>
            <w:r w:rsidRPr="00800E00">
              <w:rPr>
                <w:rFonts w:ascii="Arial" w:hAnsi="Arial" w:cs="Arial"/>
                <w:sz w:val="20"/>
                <w:szCs w:val="20"/>
              </w:rPr>
              <w:t>Cada Técnico puede sumar los PEM de varias obras que sean de un edificio similar?</w:t>
            </w:r>
            <w:proofErr w:type="gramEnd"/>
          </w:p>
          <w:p w14:paraId="656ADBEE" w14:textId="77777777" w:rsidR="00571D0E" w:rsidRPr="00800E00" w:rsidRDefault="00571D0E" w:rsidP="00A52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4220F" w14:textId="77777777" w:rsidR="00571D0E" w:rsidRPr="00800E00" w:rsidRDefault="00571D0E" w:rsidP="00A52443">
            <w:pPr>
              <w:pStyle w:val="Prrafodelista"/>
              <w:ind w:hanging="12"/>
              <w:rPr>
                <w:rFonts w:ascii="Arial" w:hAnsi="Arial" w:cs="Arial"/>
                <w:sz w:val="20"/>
                <w:szCs w:val="20"/>
              </w:rPr>
            </w:pPr>
          </w:p>
          <w:p w14:paraId="1B1B892B" w14:textId="77777777" w:rsidR="00571D0E" w:rsidRPr="00800E00" w:rsidRDefault="00571D0E" w:rsidP="00A52443">
            <w:pPr>
              <w:spacing w:after="160" w:line="360" w:lineRule="auto"/>
              <w:rPr>
                <w:rFonts w:ascii="Arial" w:hAnsi="Arial" w:cs="Arial"/>
                <w:b/>
              </w:rPr>
            </w:pPr>
            <w:r w:rsidRPr="00800E00">
              <w:rPr>
                <w:rFonts w:ascii="Arial" w:hAnsi="Arial" w:cs="Arial"/>
                <w:b/>
              </w:rPr>
              <w:t>RESPUESTA:</w:t>
            </w:r>
          </w:p>
          <w:p w14:paraId="0A6A09CC" w14:textId="77777777" w:rsidR="00705DAF" w:rsidRPr="00800E00" w:rsidRDefault="00705DAF" w:rsidP="00705DAF">
            <w:pPr>
              <w:autoSpaceDE w:val="0"/>
              <w:autoSpaceDN w:val="0"/>
              <w:adjustRightInd w:val="0"/>
              <w:spacing w:before="60" w:line="240" w:lineRule="atLeas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00E00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255281">
              <w:rPr>
                <w:rFonts w:ascii="Arial" w:hAnsi="Arial" w:cs="Arial"/>
                <w:sz w:val="20"/>
                <w:szCs w:val="20"/>
              </w:rPr>
              <w:t>cabe</w:t>
            </w:r>
            <w:r w:rsidRPr="00800E00">
              <w:rPr>
                <w:rFonts w:ascii="Arial" w:hAnsi="Arial" w:cs="Arial"/>
                <w:sz w:val="20"/>
                <w:szCs w:val="20"/>
              </w:rPr>
              <w:t xml:space="preserve"> sumar los importes. De acuerdo con</w:t>
            </w:r>
            <w:r w:rsidR="00255281">
              <w:rPr>
                <w:rFonts w:ascii="Arial" w:hAnsi="Arial" w:cs="Arial"/>
                <w:sz w:val="20"/>
                <w:szCs w:val="20"/>
              </w:rPr>
              <w:t xml:space="preserve"> lo establecido en</w:t>
            </w:r>
            <w:r w:rsidRPr="00800E00">
              <w:rPr>
                <w:rFonts w:ascii="Arial" w:hAnsi="Arial" w:cs="Arial"/>
                <w:sz w:val="20"/>
                <w:szCs w:val="20"/>
              </w:rPr>
              <w:t xml:space="preserve"> el apartado 14.3 del cuadro de características del Pliego de Cláusulas Administrativas Particulares, tanto los importes referidos para la fase de redacción de los proyectos y dirección facultativa de las obras como de ejecución de la obra, se refieren a un trabajo o una obra de igual o similar naturaleza a la del servicio u obra a ejecutar.</w:t>
            </w:r>
          </w:p>
          <w:p w14:paraId="21067C0D" w14:textId="77777777" w:rsidR="00571D0E" w:rsidRPr="00800E00" w:rsidRDefault="00571D0E" w:rsidP="00A5244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5AD5DBDB" w14:textId="77777777" w:rsidR="00571D0E" w:rsidRPr="00800E00" w:rsidRDefault="00571D0E" w:rsidP="00571D0E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9605931" w14:textId="77777777" w:rsidR="00571D0E" w:rsidRPr="00800E00" w:rsidRDefault="00571D0E" w:rsidP="00571D0E">
      <w:pPr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E00" w:rsidRPr="00800E00" w14:paraId="3D23BD39" w14:textId="77777777" w:rsidTr="00724CD9">
        <w:trPr>
          <w:trHeight w:val="2565"/>
        </w:trPr>
        <w:tc>
          <w:tcPr>
            <w:tcW w:w="8494" w:type="dxa"/>
          </w:tcPr>
          <w:p w14:paraId="604A9792" w14:textId="77777777" w:rsidR="00571D0E" w:rsidRPr="00800E00" w:rsidRDefault="00571D0E" w:rsidP="00A52443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</w:t>
            </w:r>
            <w:r w:rsidR="00724CD9"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3</w:t>
            </w:r>
            <w:r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>.-</w:t>
            </w:r>
            <w:r w:rsidRPr="00800E00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28A5B606" w14:textId="77777777" w:rsidR="00571D0E" w:rsidRPr="00800E00" w:rsidRDefault="00571D0E" w:rsidP="00A52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E00">
              <w:rPr>
                <w:rFonts w:ascii="Arial" w:hAnsi="Arial" w:cs="Arial"/>
                <w:sz w:val="20"/>
                <w:szCs w:val="20"/>
              </w:rPr>
              <w:t xml:space="preserve">Nos pueden indicar donde debemos incorporar la documentación a la que se hace referencia </w:t>
            </w:r>
            <w:proofErr w:type="gramStart"/>
            <w:r w:rsidRPr="00800E00">
              <w:rPr>
                <w:rFonts w:ascii="Arial" w:hAnsi="Arial" w:cs="Arial"/>
                <w:sz w:val="20"/>
                <w:szCs w:val="20"/>
              </w:rPr>
              <w:t>en  el</w:t>
            </w:r>
            <w:proofErr w:type="gramEnd"/>
            <w:r w:rsidRPr="00800E00">
              <w:rPr>
                <w:rFonts w:ascii="Arial" w:hAnsi="Arial" w:cs="Arial"/>
                <w:sz w:val="20"/>
                <w:szCs w:val="20"/>
              </w:rPr>
              <w:t xml:space="preserve"> DOCUMENTO DEL CONTRATO DE CONCESIÓN DE OBRAS PARA LA REDACCIÓN DEL PROYECTO, en su Pág. 11, punto 8. DOCUMENTACIÓN A FACILITAR EN LA FASE DE </w:t>
            </w:r>
            <w:proofErr w:type="gramStart"/>
            <w:r w:rsidRPr="00800E00">
              <w:rPr>
                <w:rFonts w:ascii="Arial" w:hAnsi="Arial" w:cs="Arial"/>
                <w:sz w:val="20"/>
                <w:szCs w:val="20"/>
              </w:rPr>
              <w:t>LICITACIÓN,  que</w:t>
            </w:r>
            <w:proofErr w:type="gramEnd"/>
            <w:r w:rsidRPr="00800E00">
              <w:rPr>
                <w:rFonts w:ascii="Arial" w:hAnsi="Arial" w:cs="Arial"/>
                <w:sz w:val="20"/>
                <w:szCs w:val="20"/>
              </w:rPr>
              <w:t xml:space="preserve"> en concreto indican: Plano de situación y emplazamiento de la parcela, Extracto de la Normativa Urbanística de aplicación y Vista aérea de la parcela</w:t>
            </w:r>
            <w:r w:rsidR="00D33ACA" w:rsidRPr="00800E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44D2ED" w14:textId="77777777" w:rsidR="00571D0E" w:rsidRPr="00800E00" w:rsidRDefault="00571D0E" w:rsidP="00A52443">
            <w:pPr>
              <w:pStyle w:val="Prrafodelista"/>
              <w:ind w:hanging="12"/>
              <w:rPr>
                <w:rFonts w:ascii="Arial" w:hAnsi="Arial" w:cs="Arial"/>
                <w:sz w:val="20"/>
                <w:szCs w:val="20"/>
              </w:rPr>
            </w:pPr>
          </w:p>
          <w:p w14:paraId="035CCAA2" w14:textId="77777777" w:rsidR="00724CD9" w:rsidRPr="00800E00" w:rsidRDefault="00724CD9" w:rsidP="00724CD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00E00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 4.-</w:t>
            </w:r>
          </w:p>
          <w:p w14:paraId="19D65822" w14:textId="77777777" w:rsidR="00724CD9" w:rsidRPr="00800E00" w:rsidRDefault="00724CD9" w:rsidP="00724CD9"/>
          <w:p w14:paraId="4EFFDB6E" w14:textId="77777777" w:rsidR="00724CD9" w:rsidRPr="00800E00" w:rsidRDefault="00724CD9" w:rsidP="00724CD9">
            <w:pPr>
              <w:rPr>
                <w:rFonts w:ascii="Arial" w:hAnsi="Arial" w:cs="Arial"/>
                <w:sz w:val="20"/>
                <w:szCs w:val="20"/>
              </w:rPr>
            </w:pPr>
            <w:r w:rsidRPr="00800E00">
              <w:rPr>
                <w:rFonts w:ascii="Arial" w:hAnsi="Arial" w:cs="Arial"/>
                <w:sz w:val="20"/>
                <w:szCs w:val="20"/>
              </w:rPr>
              <w:t xml:space="preserve">Falta la documentación a facilitar en fase de Licitación del </w:t>
            </w:r>
            <w:proofErr w:type="spellStart"/>
            <w:r w:rsidRPr="00800E00"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 w:rsidRPr="00800E00">
              <w:rPr>
                <w:rFonts w:ascii="Arial" w:hAnsi="Arial" w:cs="Arial"/>
                <w:sz w:val="20"/>
                <w:szCs w:val="20"/>
              </w:rPr>
              <w:t xml:space="preserve">. 8 del Pliego </w:t>
            </w:r>
            <w:proofErr w:type="spellStart"/>
            <w:r w:rsidRPr="00800E00">
              <w:rPr>
                <w:rFonts w:ascii="Arial" w:hAnsi="Arial" w:cs="Arial"/>
                <w:sz w:val="20"/>
                <w:szCs w:val="20"/>
              </w:rPr>
              <w:t>Cond.Técnicas</w:t>
            </w:r>
            <w:proofErr w:type="spellEnd"/>
            <w:r w:rsidRPr="00800E00">
              <w:rPr>
                <w:rFonts w:ascii="Arial" w:hAnsi="Arial" w:cs="Arial"/>
                <w:sz w:val="20"/>
                <w:szCs w:val="20"/>
              </w:rPr>
              <w:t>, y que es:</w:t>
            </w:r>
          </w:p>
          <w:p w14:paraId="4891E4F3" w14:textId="77777777" w:rsidR="00724CD9" w:rsidRPr="00800E00" w:rsidRDefault="00724CD9" w:rsidP="0072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91DE3" w14:textId="77777777" w:rsidR="00724CD9" w:rsidRPr="00800E00" w:rsidRDefault="00724CD9" w:rsidP="00724CD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0E00">
              <w:rPr>
                <w:rFonts w:ascii="Arial" w:hAnsi="Arial" w:cs="Arial"/>
                <w:sz w:val="20"/>
                <w:szCs w:val="20"/>
              </w:rPr>
              <w:lastRenderedPageBreak/>
              <w:t>Anexo III - Planos y normativa</w:t>
            </w:r>
          </w:p>
          <w:p w14:paraId="18CC5E9D" w14:textId="77777777" w:rsidR="00724CD9" w:rsidRPr="00800E00" w:rsidRDefault="00724CD9" w:rsidP="00724CD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0E00">
              <w:rPr>
                <w:rFonts w:ascii="Arial" w:hAnsi="Arial" w:cs="Arial"/>
                <w:sz w:val="20"/>
                <w:szCs w:val="20"/>
              </w:rPr>
              <w:t>Anexo IV – Vista aérea de la parcela</w:t>
            </w:r>
          </w:p>
          <w:p w14:paraId="73567C02" w14:textId="77777777" w:rsidR="00724CD9" w:rsidRPr="00800E00" w:rsidRDefault="00724CD9" w:rsidP="0072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043CC" w14:textId="77777777" w:rsidR="00724CD9" w:rsidRPr="00800E00" w:rsidRDefault="00724CD9" w:rsidP="00A52443">
            <w:pPr>
              <w:pStyle w:val="Prrafodelista"/>
              <w:ind w:hanging="12"/>
              <w:rPr>
                <w:rFonts w:ascii="Arial" w:hAnsi="Arial" w:cs="Arial"/>
                <w:sz w:val="20"/>
                <w:szCs w:val="20"/>
              </w:rPr>
            </w:pPr>
          </w:p>
          <w:p w14:paraId="5195D8AD" w14:textId="77777777" w:rsidR="00D33ACA" w:rsidRPr="00FF7A6E" w:rsidRDefault="00571D0E" w:rsidP="00FF7A6E">
            <w:pPr>
              <w:spacing w:after="160" w:line="360" w:lineRule="auto"/>
              <w:rPr>
                <w:rFonts w:ascii="Arial" w:hAnsi="Arial" w:cs="Arial"/>
                <w:b/>
              </w:rPr>
            </w:pPr>
            <w:r w:rsidRPr="00800E00">
              <w:rPr>
                <w:rFonts w:ascii="Arial" w:hAnsi="Arial" w:cs="Arial"/>
                <w:b/>
              </w:rPr>
              <w:t>RESPUESTA:</w:t>
            </w:r>
          </w:p>
          <w:p w14:paraId="7CA65071" w14:textId="77777777" w:rsidR="00D33ACA" w:rsidRDefault="00D0722E" w:rsidP="007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E00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D33ACA" w:rsidRPr="00800E00">
              <w:rPr>
                <w:rFonts w:ascii="Arial" w:hAnsi="Arial" w:cs="Arial"/>
                <w:sz w:val="20"/>
                <w:szCs w:val="20"/>
              </w:rPr>
              <w:t xml:space="preserve">Ayuntamiento de </w:t>
            </w:r>
            <w:proofErr w:type="spellStart"/>
            <w:r w:rsidR="00D33ACA" w:rsidRPr="00800E00">
              <w:rPr>
                <w:rFonts w:ascii="Arial" w:hAnsi="Arial" w:cs="Arial"/>
                <w:sz w:val="20"/>
                <w:szCs w:val="20"/>
              </w:rPr>
              <w:t>Irun</w:t>
            </w:r>
            <w:proofErr w:type="spellEnd"/>
            <w:r w:rsidR="00D33ACA" w:rsidRPr="00800E00">
              <w:rPr>
                <w:rFonts w:ascii="Arial" w:hAnsi="Arial" w:cs="Arial"/>
                <w:sz w:val="20"/>
                <w:szCs w:val="20"/>
              </w:rPr>
              <w:t xml:space="preserve"> pone a di</w:t>
            </w:r>
            <w:r w:rsidRPr="00800E00">
              <w:rPr>
                <w:rFonts w:ascii="Arial" w:hAnsi="Arial" w:cs="Arial"/>
                <w:sz w:val="20"/>
                <w:szCs w:val="20"/>
              </w:rPr>
              <w:t xml:space="preserve">sposición de la ciudadanía una </w:t>
            </w:r>
            <w:r w:rsidR="00D33ACA" w:rsidRPr="00800E00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Web de Consulta y descarga de Cartografía</w:t>
            </w:r>
            <w:r w:rsidR="00D33ACA" w:rsidRPr="00800E0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33ACA" w:rsidRPr="00800E00">
              <w:rPr>
                <w:rFonts w:ascii="Arial" w:hAnsi="Arial" w:cs="Arial"/>
                <w:sz w:val="20"/>
                <w:szCs w:val="20"/>
              </w:rPr>
              <w:t xml:space="preserve"> que ofrece la visualización, consulta y descarga gratuita, en formatos está</w:t>
            </w:r>
            <w:r w:rsidR="00255281">
              <w:rPr>
                <w:rFonts w:ascii="Arial" w:hAnsi="Arial" w:cs="Arial"/>
                <w:sz w:val="20"/>
                <w:szCs w:val="20"/>
              </w:rPr>
              <w:t>ndares, de la base cartográfica:</w:t>
            </w:r>
            <w:r w:rsidR="00D33ACA" w:rsidRPr="00800E0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FF7A6E" w:rsidRPr="00FC17A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http://cartografia.irun.org/</w:t>
              </w:r>
            </w:hyperlink>
            <w:r w:rsidR="00FF7A6E">
              <w:rPr>
                <w:rFonts w:ascii="Arial" w:hAnsi="Arial" w:cs="Arial"/>
                <w:sz w:val="20"/>
                <w:szCs w:val="20"/>
              </w:rPr>
              <w:t xml:space="preserve">  Asimismo, respecto a la normativa urbanística:  </w:t>
            </w:r>
            <w:hyperlink r:id="rId8" w:history="1">
              <w:r w:rsidR="00FF7A6E" w:rsidRPr="00FC17A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http://www.irun.org/pgou/doc_fase5_aprobacion.asp</w:t>
              </w:r>
            </w:hyperlink>
          </w:p>
          <w:p w14:paraId="1368F8F6" w14:textId="77777777" w:rsidR="00571D0E" w:rsidRPr="00800E00" w:rsidRDefault="00571D0E" w:rsidP="00D072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1F14F7" w14:textId="77777777" w:rsidR="00C4312E" w:rsidRPr="00800E00" w:rsidRDefault="00C4312E"/>
    <w:p w14:paraId="067418BB" w14:textId="77777777" w:rsidR="00D0722E" w:rsidRPr="00800E00" w:rsidRDefault="00D0722E" w:rsidP="00D0722E">
      <w:pPr>
        <w:rPr>
          <w:rFonts w:ascii="Arial" w:hAnsi="Arial" w:cs="Arial"/>
          <w:b/>
          <w:sz w:val="20"/>
          <w:szCs w:val="20"/>
        </w:rPr>
      </w:pPr>
      <w:proofErr w:type="spellStart"/>
      <w:r w:rsidRPr="00800E00">
        <w:rPr>
          <w:rFonts w:ascii="Arial" w:hAnsi="Arial" w:cs="Arial"/>
          <w:b/>
          <w:sz w:val="20"/>
          <w:szCs w:val="20"/>
        </w:rPr>
        <w:t>Gizarte</w:t>
      </w:r>
      <w:proofErr w:type="spellEnd"/>
      <w:r w:rsidRPr="00800E0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00E00">
        <w:rPr>
          <w:rFonts w:ascii="Arial" w:hAnsi="Arial" w:cs="Arial"/>
          <w:b/>
          <w:sz w:val="20"/>
          <w:szCs w:val="20"/>
        </w:rPr>
        <w:t>Politiketako</w:t>
      </w:r>
      <w:proofErr w:type="spellEnd"/>
      <w:r w:rsidRPr="00800E0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00E00">
        <w:rPr>
          <w:rFonts w:ascii="Arial" w:hAnsi="Arial" w:cs="Arial"/>
          <w:b/>
          <w:sz w:val="20"/>
          <w:szCs w:val="20"/>
        </w:rPr>
        <w:t>Departamentua</w:t>
      </w:r>
      <w:proofErr w:type="spellEnd"/>
      <w:r w:rsidRPr="00800E00">
        <w:rPr>
          <w:rFonts w:ascii="Arial" w:hAnsi="Arial" w:cs="Arial"/>
          <w:b/>
          <w:sz w:val="20"/>
          <w:szCs w:val="20"/>
        </w:rPr>
        <w:t>/Departamento de Políticas Sociales</w:t>
      </w:r>
    </w:p>
    <w:p w14:paraId="2EE57EF9" w14:textId="77777777" w:rsidR="00D0722E" w:rsidRDefault="00D0722E"/>
    <w:sectPr w:rsidR="00D0722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A5D47" w14:textId="77777777" w:rsidR="00705DAF" w:rsidRDefault="00705DAF" w:rsidP="00705DAF">
      <w:r>
        <w:separator/>
      </w:r>
    </w:p>
  </w:endnote>
  <w:endnote w:type="continuationSeparator" w:id="0">
    <w:p w14:paraId="1857251B" w14:textId="77777777" w:rsidR="00705DAF" w:rsidRDefault="00705DAF" w:rsidP="0070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4E369" w14:textId="77777777" w:rsidR="00705DAF" w:rsidRDefault="00705DAF" w:rsidP="00705DAF">
      <w:r>
        <w:separator/>
      </w:r>
    </w:p>
  </w:footnote>
  <w:footnote w:type="continuationSeparator" w:id="0">
    <w:p w14:paraId="3BC22F5A" w14:textId="77777777" w:rsidR="00705DAF" w:rsidRDefault="00705DAF" w:rsidP="0070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79EFE" w14:textId="77777777" w:rsidR="00705DAF" w:rsidRDefault="00705DAF">
    <w:pPr>
      <w:pStyle w:val="Encabezado"/>
    </w:pPr>
    <w:r w:rsidRPr="00761857">
      <w:rPr>
        <w:noProof/>
        <w:lang w:eastAsia="es-ES"/>
      </w:rPr>
      <w:drawing>
        <wp:inline distT="0" distB="0" distL="0" distR="0" wp14:anchorId="09884645" wp14:editId="4BFC8907">
          <wp:extent cx="3000375" cy="887270"/>
          <wp:effectExtent l="0" t="0" r="0" b="8255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1316" cy="89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B6805" w14:textId="77777777" w:rsidR="00705DAF" w:rsidRDefault="00705D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C771C"/>
    <w:multiLevelType w:val="hybridMultilevel"/>
    <w:tmpl w:val="BDF4BB56"/>
    <w:lvl w:ilvl="0" w:tplc="0C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8166F9A">
      <w:start w:val="13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6E03179"/>
    <w:multiLevelType w:val="hybridMultilevel"/>
    <w:tmpl w:val="AE661254"/>
    <w:lvl w:ilvl="0" w:tplc="DE420F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0E"/>
    <w:rsid w:val="00255281"/>
    <w:rsid w:val="00406803"/>
    <w:rsid w:val="005349A4"/>
    <w:rsid w:val="00571D0E"/>
    <w:rsid w:val="00705DAF"/>
    <w:rsid w:val="00724CD9"/>
    <w:rsid w:val="007A5548"/>
    <w:rsid w:val="00800E00"/>
    <w:rsid w:val="00C4312E"/>
    <w:rsid w:val="00D0722E"/>
    <w:rsid w:val="00D33ACA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D0F5"/>
  <w15:chartTrackingRefBased/>
  <w15:docId w15:val="{44E6F314-E868-4303-8089-BBA341AE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D0E"/>
    <w:pPr>
      <w:ind w:left="720"/>
    </w:pPr>
  </w:style>
  <w:style w:type="table" w:styleId="Tablaconcuadrcula">
    <w:name w:val="Table Grid"/>
    <w:basedOn w:val="Tablanormal"/>
    <w:uiPriority w:val="39"/>
    <w:rsid w:val="0057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71D0E"/>
    <w:pPr>
      <w:autoSpaceDE w:val="0"/>
      <w:autoSpaceDN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5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DAF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5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DAF"/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D33AC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5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5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F7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un.org/pgou/doc_fase5_aprobacio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rtografia.iru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MARROQUIN URRESTARAZU, Patxi</dc:creator>
  <cp:keywords/>
  <dc:description/>
  <cp:lastModifiedBy>Leire Fuente</cp:lastModifiedBy>
  <cp:revision>2</cp:revision>
  <cp:lastPrinted>2020-10-15T09:41:00Z</cp:lastPrinted>
  <dcterms:created xsi:type="dcterms:W3CDTF">2020-10-15T14:06:00Z</dcterms:created>
  <dcterms:modified xsi:type="dcterms:W3CDTF">2020-10-15T14:06:00Z</dcterms:modified>
</cp:coreProperties>
</file>